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Bayesian methods gain increasing attention in psychological sciences. Advantages of Bayesian methods,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do not imply the evidence of absence (</w:t>
      </w:r>
      <w:r>
        <w:t xml:space="preserve">“</w:t>
      </w:r>
      <w:r>
        <w:t xml:space="preserve">there is no true effect</w:t>
      </w:r>
      <w:r>
        <w:t xml:space="preserve">”</w:t>
      </w:r>
      <w:r>
        <w:t xml:space="preserve">). But there is an increasing agreement that the Bayesian statistical framework is a good way to go for psychological science to avoid such fallacies. Nevertheless, its flexible nature is its power and weakness, for there is no agreement about what indices should be computed or reported. This lack of a consensual index for the existence of an effect, such as the frequentist</w:t>
      </w:r>
      <w:r>
        <w:t xml:space="preserve"> </w:t>
      </w:r>
      <w:r>
        <w:rPr>
          <w:i/>
        </w:rPr>
        <w:t xml:space="preserve">p</w:t>
      </w:r>
      <w:r>
        <w:t xml:space="preserve">-value, further contributes to the unnecessary opacity that many non-familiar readers perceive in Bayesian statistics. Thus, this study describes and compares several indices of effect existence, provide intuitive visual representation of the</w:t>
      </w:r>
      <w:r>
        <w:t xml:space="preserve"> </w:t>
      </w:r>
      <w:r>
        <w:t xml:space="preserve">“</w:t>
      </w:r>
      <w:r>
        <w:t xml:space="preserve">behavior</w:t>
      </w:r>
      <w:r>
        <w:t xml:space="preserve">”</w:t>
      </w:r>
      <w:r>
        <w:t xml:space="preserve"> </w:t>
      </w:r>
      <w:r>
        <w:t xml:space="preserve">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misuse and misinterpretation of p-values, so called</w:t>
      </w:r>
      <w:r>
        <w:t xml:space="preserve"> </w:t>
      </w:r>
      <w:r>
        <w:t xml:space="preserve">‘</w:t>
      </w:r>
      <w:r>
        <w:t xml:space="preserve">p-hacking</w:t>
      </w:r>
      <w:r>
        <w:t xml:space="preserve">’</w:t>
      </w:r>
      <w:r>
        <w:t xml:space="preserve"> </w:t>
      </w:r>
      <w:r>
        <w:t xml:space="preserve">(Simmons, Nelson, &amp; Simonsohn, 2011)</w:t>
      </w:r>
      <w:r>
        <w:t xml:space="preserve">, ), has been shown to critically contribute to the reproducibility crisis of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Even if used properly, effects will be drastically overestimated or the direction of effects gets wrong when researchers condition on statistical significance for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2016;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have severely rigidified, and meeting significance has become a goal unto itself rather than a tool for understanding the data</w:t>
      </w:r>
      <w:r>
        <w:t xml:space="preserve"> </w:t>
      </w:r>
      <w:r>
        <w:t xml:space="preserve">(Cohen, 2016; Kirk, 1996)</w:t>
      </w:r>
      <w:r>
        <w:t xml:space="preserve">. This is particularly problematic given that</w:t>
      </w:r>
      <w:r>
        <w:t xml:space="preserve"> </w:t>
      </w:r>
      <w:r>
        <w:rPr>
          <w:i/>
        </w:rPr>
        <w:t xml:space="preserve">p</w:t>
      </w:r>
      <w:r>
        <w:t xml:space="preserve">-values can only be used to reject the null hypothesis, not to accept it as true</w:t>
      </w:r>
      <w:r>
        <w:t xml:space="preserve"> </w:t>
      </w:r>
      <w:r>
        <w:t xml:space="preserve">(Wagenmakers, 2007)</w:t>
      </w:r>
      <w:r>
        <w:t xml:space="preserve">.</w:t>
      </w:r>
      <w:r>
        <w:t xml:space="preserve"> </w:t>
      </w:r>
      <w:r>
        <w:t xml:space="preserve">“</w:t>
      </w:r>
      <w:r>
        <w:t xml:space="preserve">For several generations, researchers have been warned that a statistically non-significant result does not</w:t>
      </w:r>
      <w:r>
        <w:t xml:space="preserve"> </w:t>
      </w:r>
      <w:r>
        <w:t xml:space="preserve">‘</w:t>
      </w:r>
      <w:r>
        <w:t xml:space="preserve">prove</w:t>
      </w:r>
      <w:r>
        <w:t xml:space="preserve">’</w:t>
      </w:r>
      <w:r>
        <w:t xml:space="preserve"> </w:t>
      </w:r>
      <w:r>
        <w:t xml:space="preserve">the null hypothesis (the hypothesis that there is no difference between groups or no effect of a treatment on some measured outcome)</w:t>
      </w:r>
      <w:r>
        <w:t xml:space="preserve">”</w:t>
      </w:r>
      <w:r>
        <w:t xml:space="preserve"> </w:t>
      </w:r>
      <w:r>
        <w:t xml:space="preserve">(Amrhein, Greenland, &amp; McShane, 2019, p. 305)</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(as opposed to the obscure mathematical definition of the p-value that contributes to its common misinterpretation). Another improvement could be found in providing an intuitive (e.g., visual) understanding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some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w:t>
      </w:r>
      <w:r>
        <w:t xml:space="preserve"> </w:t>
      </w:r>
      <w:r>
        <w:t xml:space="preserve">“</w:t>
      </w:r>
      <w:r>
        <w:t xml:space="preserve">true effect</w:t>
      </w:r>
      <w:r>
        <w:t xml:space="preserve">”</w:t>
      </w:r>
      <w:r>
        <w:t xml:space="preserve">, Bayesian methods compute the probability of different effects given the observed data, resulting in a distribution of possible values for the parameters, called the posterior distribution. The description of the posterior distribution allows to draw conclusions from Bayesian analyses. These results are also affected by prior knowledge, which purpose can be to regularize highly variable data in order to get parameters within a plausible range to avoid overestimation of effects.</w:t>
      </w:r>
    </w:p>
    <w:p>
      <w:pPr>
        <w:pStyle w:val="BodyText"/>
      </w:pPr>
      <w:r>
        <w:t xml:space="preserve">Bayesian testing indices could be roughly grouped into three overlapping categories: Bayes factors, posterior indices and ROPE-based indices. Bayes factors are a family of indices of relative evidence of one model over another</w:t>
      </w:r>
      <w:r>
        <w:t xml:space="preserve"> </w:t>
      </w:r>
      <w:r>
        <w:t xml:space="preserve">(e.g., the null vs. 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Nonetheless, its use for parameters description in complex models is still a matter of debate</w:t>
      </w:r>
      <w:r>
        <w:t xml:space="preserve"> </w:t>
      </w:r>
      <w:r>
        <w:t xml:space="preserve">(Heck, 2019; Wagenmakers, Lodewyckx, Kuriyal, &amp; Grasman, 2010)</w:t>
      </w:r>
      <w:r>
        <w:t xml:space="preserve">, and its use is highly dependent on the specification of priors of both compared models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w:t>
      </w:r>
      <w:r>
        <w:t xml:space="preserve"> </w:t>
      </w:r>
      <w:r>
        <w:t xml:space="preserve">“</w:t>
      </w:r>
      <w:r>
        <w:t xml:space="preserve">natural, direct, and unavoidable consequence of Bayes’ rule</w:t>
      </w:r>
      <w:r>
        <w:t xml:space="preserve">”</w:t>
      </w:r>
      <w:r>
        <w:t xml:space="preserve"> </w:t>
      </w:r>
      <w:r>
        <w:t xml:space="preserve">(Rouder, Haaf, &amp; Vandekerckhove, 2018, p. 106)</w:t>
      </w:r>
      <w:r>
        <w:t xml:space="preserve">. Finally, ROPE-based indices are related to the redefinition of the null hypothesis from the classic point-null hypothesis to a range of values considered negligible, or too small to be of any practical relevance (the Region of Practical Equivalence - ROPE;</w:t>
      </w:r>
      <w:r>
        <w:t xml:space="preserve"> </w:t>
      </w:r>
      <w:r>
        <w:t xml:space="preserve">Kruschke (2014)</w:t>
      </w:r>
      <w:r>
        <w:t xml:space="preserve">;</w:t>
      </w:r>
      <w:r>
        <w:t xml:space="preserve"> </w:t>
      </w:r>
      <w:r>
        <w:t xml:space="preserve">Lakens (2017)</w:t>
      </w:r>
      <w:r>
        <w:t xml:space="preserve">;</w:t>
      </w:r>
      <w:r>
        <w:t xml:space="preserve"> </w:t>
      </w:r>
      <w:r>
        <w:t xml:space="preserve">Lakens, Scheel, &amp; Isager (2018)</w:t>
      </w:r>
      <w:r>
        <w:t xml:space="preserve">), usually spread equally around 0 (e.g., [-0.1; 0.1]). It is interesting to note that this perspective unites Bayesian indices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multiple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 effect, or 0 - absence of effect) and</w:t>
      </w:r>
      <w:r>
        <w:t xml:space="preserve"> </w:t>
      </w:r>
      <w:r>
        <w:rPr>
          <w:i/>
        </w:rPr>
        <w:t xml:space="preserve">noise</w:t>
      </w:r>
      <w:r>
        <w:t xml:space="preserve"> </w:t>
      </w:r>
      <w:r>
        <w:t xml:space="preserve">(Gaussian noise applied to the predictor with SD uniformly spread between 0.666 and 6.66, with 1000 different values). We generated a dataset for each combination of these characteristics, resulting in a total of 36,000 (2 model types * 2 presence/absence of effect * 9 sample sizes * 1,000 noise variations) datasets. The code used for data generation is available on GitHub (</w:t>
      </w:r>
      <w:hyperlink r:id="rId24">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related to the effect of</w:t>
      </w:r>
      <w:r>
        <w:t xml:space="preserve"> </w:t>
      </w:r>
      <w:r>
        <w:rPr>
          <w:i/>
        </w:rPr>
        <w:t xml:space="preserve">x</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 Probability of Direction (</w:t>
      </w:r>
      <w:r>
        <w:rPr>
          <w:i/>
        </w:rPr>
        <w:t xml:space="preserve">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
      <w:r>
        <w:t xml:space="preserve">ROPE (95%)</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w:t>
      </w:r>
    </w:p>
    <w:p>
      <w:pPr>
        <w:pStyle w:val="Heading3"/>
      </w:pPr>
      <w:bookmarkStart w:id="30" w:name="rope-full"/>
      <w:r>
        <w:t xml:space="preserve">ROPE (full)</w:t>
      </w:r>
      <w:bookmarkEnd w:id="30"/>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refers to the percentage of the</w:t>
      </w:r>
      <w:r>
        <w:t xml:space="preserve"> </w:t>
      </w:r>
      <w:r>
        <w:rPr>
          <w:i/>
        </w:rPr>
        <w:t xml:space="preserve">whole</w:t>
      </w:r>
      <w:r>
        <w:t xml:space="preserve"> </w:t>
      </w:r>
      <w:r>
        <w:t xml:space="preserve">posterior distribution that lies within the ROPE.</w:t>
      </w:r>
    </w:p>
    <w:p>
      <w:pPr>
        <w:pStyle w:val="Heading3"/>
      </w:pPr>
      <w:bookmarkStart w:id="31" w:name="bayes-factor-vs.-0"/>
      <w:r>
        <w:t xml:space="preserve">Bayes factor (</w:t>
      </w:r>
      <w:r>
        <w:rPr>
          <w:i/>
        </w:rPr>
        <w:t xml:space="preserve">vs.</w:t>
      </w:r>
      <w:r>
        <w:t xml:space="preserve"> </w:t>
      </w:r>
      <w:r>
        <w:t xml:space="preserve">0)</w:t>
      </w:r>
      <w:bookmarkEnd w:id="31"/>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w:t>
      </w:r>
      <w:r>
        <w:t xml:space="preserve"> </w:t>
      </w:r>
      <w:r>
        <w:t xml:space="preserve">(Wagenmakers et al., 2010)</w:t>
      </w:r>
      <w:r>
        <w:t xml:space="preserve">.</w:t>
      </w:r>
    </w:p>
    <w:p>
      <w:pPr>
        <w:pStyle w:val="Heading3"/>
      </w:pPr>
      <w:bookmarkStart w:id="32" w:name="bayes-factor-vs.-rope"/>
      <w:r>
        <w:t xml:space="preserve">Bayes factor (</w:t>
      </w:r>
      <w:r>
        <w:rPr>
          <w:i/>
        </w:rPr>
        <w:t xml:space="preserve">vs.</w:t>
      </w:r>
      <w:r>
        <w:t xml:space="preserve"> </w:t>
      </w:r>
      <w:r>
        <w:t xml:space="preserve">ROPE)</w:t>
      </w:r>
      <w:bookmarkEnd w:id="32"/>
    </w:p>
    <w:p>
      <w:pPr>
        <w:pStyle w:val="FirstParagraph"/>
      </w:pPr>
      <w:r>
        <w:t xml:space="preserve">We also computed a</w:t>
      </w:r>
      <w:r>
        <w:t xml:space="preserve"> </w:t>
      </w:r>
      <w:r>
        <w:rPr>
          <w:i/>
        </w:rPr>
        <w:t xml:space="preserve">BF</w:t>
      </w:r>
      <w:r>
        <w:t xml:space="preserve"> </w:t>
      </w:r>
      <w:r>
        <w:t xml:space="preserve">against the range of negligible values (defined here same as for the ROPE indices),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The formal definition of the</w:t>
      </w:r>
      <w:r>
        <w:t xml:space="preserve"> </w:t>
      </w:r>
      <w:r>
        <w:rPr>
          <w:i/>
        </w:rPr>
        <w:t xml:space="preserve">BF (vs. ROPE)</w:t>
      </w:r>
      <w:r>
        <w:t xml:space="preserve"> </w:t>
      </w:r>
      <w:r>
        <w:t xml:space="preserve">is the ratio between the odds of</w:t>
      </w:r>
      <w:r>
        <w:t xml:space="preserve"> </w:t>
      </w:r>
      <w:r>
        <w:rPr>
          <w:i/>
        </w:rPr>
        <w:t xml:space="preserve">ROPE (full)</w:t>
      </w:r>
      <w:r>
        <w:t xml:space="preserve"> </w:t>
      </w:r>
      <w:r>
        <w:t xml:space="preserve">for the posterior distribution and the odds of</w:t>
      </w:r>
      <w:r>
        <w:t xml:space="preserve"> </w:t>
      </w:r>
      <w:r>
        <w:rPr>
          <w:i/>
        </w:rPr>
        <w:t xml:space="preserve">ROPE (full)</w:t>
      </w:r>
      <w:r>
        <w:t xml:space="preserve"> </w:t>
      </w:r>
      <w:r>
        <w:t xml:space="preserve">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Heading2"/>
      </w:pPr>
      <w:bookmarkStart w:id="33" w:name="data-analysis"/>
      <w:r>
        <w:t xml:space="preserve">Data Analysis</w:t>
      </w:r>
      <w:bookmarkEnd w:id="33"/>
    </w:p>
    <w:p>
      <w:pPr>
        <w:pStyle w:val="FirstParagraph"/>
      </w:pPr>
      <w:r>
        <w:t xml:space="preserve">The aim of this study is two-fold: 1) compare between Bayesian indices of effect existence and significance, 2) provide visual guides for an intuitive understanding of the numeric values in relation with a known frame of reference (the frequentist</w:t>
      </w:r>
      <w:r>
        <w:t xml:space="preserve"> </w:t>
      </w:r>
      <w:r>
        <w:rPr>
          <w:i/>
        </w:rPr>
        <w:t xml:space="preserve">p</w:t>
      </w:r>
      <w:r>
        <w:t xml:space="preserve">-value). Thus, we will start by 1) presenting the relationship between these indices and main sources of variance, such as sample size, noise and null hypothesis. 2) Compare Bayesian indices with the frequentist</w:t>
      </w:r>
      <w:r>
        <w:t xml:space="preserve"> </w:t>
      </w:r>
      <w:r>
        <w:rPr>
          <w:i/>
        </w:rPr>
        <w:t xml:space="preserve">p</w:t>
      </w:r>
      <w:r>
        <w:t xml:space="preserve">-value and its commonly used thresholds (.05, .01, .001). Finally, we will show the mutual relationship between 3 recommended candidates. Taken together, these results will help us to outline numeric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differences in their bounds, we converted all indices to the same scale by normalizing the indices between 0 and 1 (note that BFs were transfomed to posterior probabilities)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 (in particular, Hamiltonian Monte Carlo</w:t>
      </w:r>
      <w:r>
        <w:t xml:space="preserve"> </w:t>
      </w:r>
      <w:r>
        <w:t xml:space="preserve">(Gelman et al., 2014)</w:t>
      </w:r>
      <w:r>
        <w:t xml:space="preserve">) with 4 chains of 2000 iterations, half of which used for warm-up. Mildly informative priors (normal distribution with mean 0 and SD 1) over the parameter were used for the models. The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5177"/>
            <wp:effectExtent b="0" l="0" r="0" t="0"/>
            <wp:docPr descr="Figure 1. Impact of Sample Size for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1.png" id="0" name="Picture"/>
                    <pic:cNvPicPr>
                      <a:picLocks noChangeArrowheads="1" noChangeAspect="1"/>
                    </pic:cNvPicPr>
                  </pic:nvPicPr>
                  <pic:blipFill>
                    <a:blip r:embed="rId36"/>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1. Impact of Sample Size for the different indices, for linear and logistic models, and when the null hypothesis is true or false. Grey vertical lines for p-values and Bayes factors represent commonly used thresholds.</w:t>
      </w:r>
    </w:p>
    <w:p>
      <w:pPr>
        <w:pStyle w:val="BodyText"/>
      </w:pPr>
      <w:r>
        <w:rPr>
          <w:b/>
        </w:rPr>
        <w:t xml:space="preserve">Figure 1</w:t>
      </w:r>
      <w:r>
        <w:t xml:space="preserve"> </w:t>
      </w:r>
      <w:r>
        <w:t xml:space="preserve">shows the sensitivity to sample size of the indices.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give similar results, independently from sample size. In other words, these indices reflect the amount of evidence (the sample size) for the presence of an effect, but not for its absence.</w:t>
      </w:r>
      <w:r>
        <w:t xml:space="preserve"> </w:t>
      </w:r>
      <w:r>
        <w:t xml:space="preserve">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t xml:space="preserve">Table 1. Sensitivity to sample size. This table shows the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t xml:space="preserve">5</w:t>
            </w:r>
          </w:p>
        </w:tc>
        <w:tc>
          <w:p>
            <w:pPr>
              <w:pStyle w:val="Compact"/>
              <w:jc w:val="left"/>
            </w:pPr>
            <w:r>
              <w:t xml:space="preserve">p_value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t xml:space="preserve">3</w:t>
            </w:r>
          </w:p>
        </w:tc>
        <w:tc>
          <w:p>
            <w:pPr>
              <w:pStyle w:val="Compact"/>
              <w:jc w:val="left"/>
            </w:pPr>
            <w:r>
              <w:t xml:space="preserve">p_direction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t xml:space="preserve">4</w:t>
            </w:r>
          </w:p>
        </w:tc>
        <w:tc>
          <w:p>
            <w:pPr>
              <w:pStyle w:val="Compact"/>
              <w:jc w:val="left"/>
            </w:pPr>
            <w:r>
              <w:t xml:space="preserve">p_MAP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6</w:t>
            </w:r>
          </w:p>
        </w:tc>
        <w:tc>
          <w:p>
            <w:pPr>
              <w:pStyle w:val="Compact"/>
              <w:jc w:val="left"/>
            </w:pPr>
            <w:r>
              <w:t xml:space="preserve">ROPE_95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7</w:t>
            </w:r>
          </w:p>
        </w:tc>
        <w:tc>
          <w:p>
            <w:pPr>
              <w:pStyle w:val="Compact"/>
              <w:jc w:val="left"/>
            </w:pPr>
            <w:r>
              <w:t xml:space="preserve">ROPE_full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1</w:t>
            </w:r>
          </w:p>
        </w:tc>
        <w:tc>
          <w:p>
            <w:pPr>
              <w:pStyle w:val="Compact"/>
              <w:jc w:val="left"/>
            </w:pPr>
            <w:r>
              <w:t xml:space="preserve">BF_log</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2</w:t>
            </w:r>
          </w:p>
        </w:tc>
        <w:tc>
          <w:p>
            <w:pPr>
              <w:pStyle w:val="Compact"/>
              <w:jc w:val="left"/>
            </w:pPr>
            <w:r>
              <w:t xml:space="preserve">BF_ROPE_log</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1</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there is and when there is not an effect.</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there is a true effect,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is false. As sample size increases, they tend to reflect more strongly that the effect is present. On the other hand,</w:t>
      </w:r>
      <w:r>
        <w:t xml:space="preserve"> </w:t>
      </w:r>
      <w:r>
        <w:rPr>
          <w:i/>
        </w:rPr>
        <w:t xml:space="preserve">ROPE</w:t>
      </w:r>
      <w:r>
        <w:t xml:space="preserve"> </w:t>
      </w:r>
      <w:r>
        <w:t xml:space="preserve">indices appear as consistent when the effet is absent. Finally,</w:t>
      </w:r>
      <w:r>
        <w:t xml:space="preserve"> </w:t>
      </w:r>
      <w:r>
        <w:rPr>
          <w:i/>
        </w:rPr>
        <w:t xml:space="preserve">BFs</w:t>
      </w:r>
      <w:r>
        <w:t xml:space="preserve"> </w:t>
      </w:r>
      <w:r>
        <w:t xml:space="preserve">are consistent both when the effect is absent and present. Note also that</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5177"/>
            <wp:effectExtent b="0" l="0" r="0" t="0"/>
            <wp:docPr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2.png" id="0" name="Picture"/>
                    <pic:cNvPicPr>
                      <a:picLocks noChangeArrowheads="1" noChangeAspect="1"/>
                    </pic:cNvPicPr>
                  </pic:nvPicPr>
                  <pic:blipFill>
                    <a:blip r:embed="rId38"/>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pPr>
        <w:pStyle w:val="BodyText"/>
      </w:pPr>
      <w:r>
        <w:rPr>
          <w:b/>
        </w:rPr>
        <w:t xml:space="preserve">Figure 2</w:t>
      </w:r>
      <w:r>
        <w:t xml:space="preserve"> </w:t>
      </w:r>
      <w:r>
        <w:t xml:space="preserve">shows the sensitivity to noise of the indices. Unlike the patterns of sensitivity to sample size, the indices display more similar patterns in their sensitivity to noise (or magnitude of effects). All indices are unidirectionally impacted by noise: the more noise, the smaller the coefficient, and the less</w:t>
      </w:r>
      <w:r>
        <w:t xml:space="preserve"> </w:t>
      </w:r>
      <w:r>
        <w:t xml:space="preserve">“</w:t>
      </w:r>
      <w:r>
        <w:t xml:space="preserve">pronounced</w:t>
      </w:r>
      <w:r>
        <w:t xml:space="preserve">”</w:t>
      </w:r>
      <w:r>
        <w:t xml:space="preserve"> </w:t>
      </w:r>
      <w:r>
        <w:t xml:space="preserve">the indices are (respectively to their direction).</w:t>
      </w:r>
      <w:r>
        <w:t xml:space="preserve"> </w:t>
      </w:r>
      <w:r>
        <w:t xml:space="preserve">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 consistent accross model types.</w:t>
      </w:r>
    </w:p>
    <w:p>
      <w:pPr>
        <w:pStyle w:val="TableCaption"/>
      </w:pPr>
      <w:r>
        <w:t xml:space="preserve">Table 2. Sensitivity to noise. This table shows the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t xml:space="preserve">5</w:t>
            </w:r>
          </w:p>
        </w:tc>
        <w:tc>
          <w:p>
            <w:pPr>
              <w:pStyle w:val="Compact"/>
              <w:jc w:val="left"/>
            </w:pPr>
            <w:r>
              <w:t xml:space="preserve">p_value</w:t>
            </w:r>
          </w:p>
        </w:tc>
        <w:tc>
          <w:p>
            <w:pPr>
              <w:pStyle w:val="Compact"/>
              <w:jc w:val="right"/>
            </w:pPr>
            <w:r>
              <w:t xml:space="preserve">0.35</w:t>
            </w:r>
          </w:p>
        </w:tc>
        <w:tc>
          <w:p>
            <w:pPr>
              <w:pStyle w:val="Compact"/>
              <w:jc w:val="right"/>
            </w:pPr>
            <w:r>
              <w:t xml:space="preserve">0.40</w:t>
            </w:r>
          </w:p>
        </w:tc>
      </w:tr>
      <w:tr>
        <w:tc>
          <w:p>
            <w:pPr>
              <w:pStyle w:val="Compact"/>
              <w:jc w:val="left"/>
            </w:pPr>
            <w:r>
              <w:t xml:space="preserve">3</w:t>
            </w:r>
          </w:p>
        </w:tc>
        <w:tc>
          <w:p>
            <w:pPr>
              <w:pStyle w:val="Compact"/>
              <w:jc w:val="left"/>
            </w:pPr>
            <w:r>
              <w:t xml:space="preserve">p_direction</w:t>
            </w:r>
          </w:p>
        </w:tc>
        <w:tc>
          <w:p>
            <w:pPr>
              <w:pStyle w:val="Compact"/>
              <w:jc w:val="right"/>
            </w:pPr>
            <w:r>
              <w:t xml:space="preserve">0.36</w:t>
            </w:r>
          </w:p>
        </w:tc>
        <w:tc>
          <w:p>
            <w:pPr>
              <w:pStyle w:val="Compact"/>
              <w:jc w:val="right"/>
            </w:pPr>
            <w:r>
              <w:t xml:space="preserve">0.40</w:t>
            </w:r>
          </w:p>
        </w:tc>
      </w:tr>
      <w:tr>
        <w:tc>
          <w:p>
            <w:pPr>
              <w:pStyle w:val="Compact"/>
              <w:jc w:val="left"/>
            </w:pPr>
            <w:r>
              <w:t xml:space="preserve">4</w:t>
            </w:r>
          </w:p>
        </w:tc>
        <w:tc>
          <w:p>
            <w:pPr>
              <w:pStyle w:val="Compact"/>
              <w:jc w:val="left"/>
            </w:pPr>
            <w:r>
              <w:t xml:space="preserve">p_MAP</w:t>
            </w:r>
          </w:p>
        </w:tc>
        <w:tc>
          <w:p>
            <w:pPr>
              <w:pStyle w:val="Compact"/>
              <w:jc w:val="right"/>
            </w:pPr>
            <w:r>
              <w:t xml:space="preserve">0.55</w:t>
            </w:r>
          </w:p>
        </w:tc>
        <w:tc>
          <w:p>
            <w:pPr>
              <w:pStyle w:val="Compact"/>
              <w:jc w:val="right"/>
            </w:pPr>
            <w:r>
              <w:t xml:space="preserve">0.60</w:t>
            </w:r>
          </w:p>
        </w:tc>
      </w:tr>
      <w:tr>
        <w:tc>
          <w:p>
            <w:pPr>
              <w:pStyle w:val="Compact"/>
              <w:jc w:val="left"/>
            </w:pPr>
            <w:r>
              <w:t xml:space="preserve">6</w:t>
            </w:r>
          </w:p>
        </w:tc>
        <w:tc>
          <w:p>
            <w:pPr>
              <w:pStyle w:val="Compact"/>
              <w:jc w:val="left"/>
            </w:pPr>
            <w:r>
              <w:t xml:space="preserve">ROPE_95</w:t>
            </w:r>
          </w:p>
        </w:tc>
        <w:tc>
          <w:p>
            <w:pPr>
              <w:pStyle w:val="Compact"/>
              <w:jc w:val="right"/>
            </w:pPr>
            <w:r>
              <w:t xml:space="preserve">0.45</w:t>
            </w:r>
          </w:p>
        </w:tc>
        <w:tc>
          <w:p>
            <w:pPr>
              <w:pStyle w:val="Compact"/>
              <w:jc w:val="right"/>
            </w:pPr>
            <w:r>
              <w:t xml:space="preserve">0.45</w:t>
            </w:r>
          </w:p>
        </w:tc>
      </w:tr>
      <w:tr>
        <w:tc>
          <w:p>
            <w:pPr>
              <w:pStyle w:val="Compact"/>
              <w:jc w:val="left"/>
            </w:pPr>
            <w:r>
              <w:t xml:space="preserve">7</w:t>
            </w:r>
          </w:p>
        </w:tc>
        <w:tc>
          <w:p>
            <w:pPr>
              <w:pStyle w:val="Compact"/>
              <w:jc w:val="left"/>
            </w:pPr>
            <w:r>
              <w:t xml:space="preserve">ROPE_full</w:t>
            </w:r>
          </w:p>
        </w:tc>
        <w:tc>
          <w:p>
            <w:pPr>
              <w:pStyle w:val="Compact"/>
              <w:jc w:val="right"/>
            </w:pPr>
            <w:r>
              <w:t xml:space="preserve">0.46</w:t>
            </w:r>
          </w:p>
        </w:tc>
        <w:tc>
          <w:p>
            <w:pPr>
              <w:pStyle w:val="Compact"/>
              <w:jc w:val="right"/>
            </w:pPr>
            <w:r>
              <w:t xml:space="preserve">0.45</w:t>
            </w:r>
          </w:p>
        </w:tc>
      </w:tr>
      <w:tr>
        <w:tc>
          <w:p>
            <w:pPr>
              <w:pStyle w:val="Compact"/>
              <w:jc w:val="left"/>
            </w:pPr>
            <w:r>
              <w:t xml:space="preserve">1</w:t>
            </w:r>
          </w:p>
        </w:tc>
        <w:tc>
          <w:p>
            <w:pPr>
              <w:pStyle w:val="Compact"/>
              <w:jc w:val="left"/>
            </w:pPr>
            <w:r>
              <w:t xml:space="preserve">BF_log</w:t>
            </w:r>
          </w:p>
        </w:tc>
        <w:tc>
          <w:p>
            <w:pPr>
              <w:pStyle w:val="Compact"/>
              <w:jc w:val="right"/>
            </w:pPr>
            <w:r>
              <w:t xml:space="preserve">0.79</w:t>
            </w:r>
          </w:p>
        </w:tc>
        <w:tc>
          <w:p>
            <w:pPr>
              <w:pStyle w:val="Compact"/>
              <w:jc w:val="right"/>
            </w:pPr>
            <w:r>
              <w:t xml:space="preserve">0.65</w:t>
            </w:r>
          </w:p>
        </w:tc>
      </w:tr>
      <w:tr>
        <w:tc>
          <w:p>
            <w:pPr>
              <w:pStyle w:val="Compact"/>
              <w:jc w:val="left"/>
            </w:pPr>
            <w:r>
              <w:t xml:space="preserve">2</w:t>
            </w:r>
          </w:p>
        </w:tc>
        <w:tc>
          <w:p>
            <w:pPr>
              <w:pStyle w:val="Compact"/>
              <w:jc w:val="left"/>
            </w:pPr>
            <w:r>
              <w:t xml:space="preserve">BF_ROPE_log</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2</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whereas the</w:t>
      </w:r>
      <w:r>
        <w:t xml:space="preserve"> </w:t>
      </w:r>
      <w:r>
        <w:rPr>
          <w:i/>
        </w:rPr>
        <w:t xml:space="preserve">p</w:t>
      </w:r>
      <w:r>
        <w:t xml:space="preserve">-value and the</w:t>
      </w:r>
      <w:r>
        <w:t xml:space="preserve"> </w:t>
      </w:r>
      <w:r>
        <w:rPr>
          <w:i/>
        </w:rPr>
        <w:t xml:space="preserve">pd</w:t>
      </w:r>
      <w:r>
        <w:t xml:space="preserve"> </w:t>
      </w:r>
      <w:r>
        <w:t xml:space="preserve">would be less sensitive to its magnitude, but rather to its consistency (the certainty of the evidence, as for instance related to the sample size).</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5177"/>
            <wp:effectExtent b="0" l="0" r="0" t="0"/>
            <wp:docPr descr="Figure 3. Relationship with the frequentist p-value. In each plot, the p-value densities can b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itle="" id="1" name="Picture"/>
            <a:graphic>
              <a:graphicData uri="http://schemas.openxmlformats.org/drawingml/2006/picture">
                <pic:pic>
                  <pic:nvPicPr>
                    <pic:cNvPr descr="figures/Figure3.png" id="0" name="Picture"/>
                    <pic:cNvPicPr>
                      <a:picLocks noChangeArrowheads="1" noChangeAspect="1"/>
                    </pic:cNvPicPr>
                  </pic:nvPicPr>
                  <pic:blipFill>
                    <a:blip r:embed="rId40"/>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3. Relationship with the frequentist p-value. In each plot, the p-value densities can be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w:t>
      </w:r>
    </w:p>
    <w:p>
      <w:pPr>
        <w:pStyle w:val="BodyText"/>
      </w:pPr>
      <w:r>
        <w:rPr>
          <w:b/>
        </w:rPr>
        <w:t xml:space="preserve">Figure 3</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a function of sample size. In other words, the relationship between frequentist significance and the percentage in ROPE depends on the sample size.</w:t>
      </w:r>
    </w:p>
    <w:p>
      <w:pPr>
        <w:pStyle w:val="CaptionedFigure"/>
      </w:pPr>
      <w:r>
        <w:drawing>
          <wp:inline>
            <wp:extent cx="6197600" cy="4382141"/>
            <wp:effectExtent b="0" l="0" r="0" t="0"/>
            <wp:docPr descr="Figure 4. The probability of reaching different p-value based significance thresholds (.1, .05, .01, .001) for different values of the Bayesian indices." title="" id="1" name="Picture"/>
            <a:graphic>
              <a:graphicData uri="http://schemas.openxmlformats.org/drawingml/2006/picture">
                <pic:pic>
                  <pic:nvPicPr>
                    <pic:cNvPr descr="figures/Figure4.png" id="0" name="Picture"/>
                    <pic:cNvPicPr>
                      <a:picLocks noChangeArrowheads="1" noChangeAspect="1"/>
                    </pic:cNvPicPr>
                  </pic:nvPicPr>
                  <pic:blipFill>
                    <a:blip r:embed="rId41"/>
                    <a:stretch>
                      <a:fillRect/>
                    </a:stretch>
                  </pic:blipFill>
                  <pic:spPr bwMode="auto">
                    <a:xfrm>
                      <a:off x="0" y="0"/>
                      <a:ext cx="6197600" cy="4382141"/>
                    </a:xfrm>
                    <a:prstGeom prst="rect">
                      <a:avLst/>
                    </a:prstGeom>
                    <a:noFill/>
                    <a:ln w="9525">
                      <a:noFill/>
                      <a:headEnd/>
                      <a:tailEnd/>
                    </a:ln>
                  </pic:spPr>
                </pic:pic>
              </a:graphicData>
            </a:graphic>
          </wp:inline>
        </w:drawing>
      </w:r>
    </w:p>
    <w:p>
      <w:pPr>
        <w:pStyle w:val="ImageCaption"/>
      </w:pPr>
      <w:r>
        <w:t xml:space="preserve">Figure 4. The probability of reaching different p-value based significance thresholds (.1, .05, .01, .001) for different values of the Bayesian indices.</w:t>
      </w:r>
    </w:p>
    <w:p>
      <w:pPr>
        <w:pStyle w:val="BodyText"/>
      </w:pPr>
      <w:r>
        <w:rPr>
          <w:b/>
        </w:rPr>
        <w:t xml:space="preserve">Figure 4</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w:t>
      </w:r>
      <w:r>
        <w:t xml:space="preserve">-direction 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5. Relationship between three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t xml:space="preserve">Figure 5. Relationship between three Bayesian indices.</w:t>
      </w:r>
    </w:p>
    <w:p>
      <w:pPr>
        <w:pStyle w:val="BodyText"/>
      </w:pPr>
      <w:r>
        <w:t xml:space="preserve">The</w:t>
      </w:r>
      <w:r>
        <w:t xml:space="preserve"> </w:t>
      </w:r>
      <w:r>
        <w:rPr>
          <w:b/>
        </w:rPr>
        <w:t xml:space="preserve">Figure 5</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the relationship between</w:t>
      </w:r>
      <w:r>
        <w:t xml:space="preserve"> </w:t>
      </w:r>
      <w:r>
        <w:rPr>
          <w:i/>
        </w:rPr>
        <w:t xml:space="preserve">BF (vs. ROPE)</w:t>
      </w:r>
      <w:r>
        <w:t xml:space="preserve"> </w:t>
      </w:r>
      <w:r>
        <w:t xml:space="preserve">and the</w:t>
      </w:r>
      <w:r>
        <w:t xml:space="preserve"> </w:t>
      </w:r>
      <w:r>
        <w:rPr>
          <w:i/>
        </w:rPr>
        <w:t xml:space="preserve">pd</w:t>
      </w:r>
      <w:r>
        <w:t xml:space="preserve"> </w:t>
      </w:r>
      <w:r>
        <w:t xml:space="preserve">might be subject to differences across model types (though see next paragraph). Moreover,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These results reflect</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2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w:t>
      </w:r>
      <w:r>
        <w:t xml:space="preserve"> </w:t>
      </w:r>
      <w:r>
        <w:t xml:space="preserve">(Rouder &amp; Morey, 2012; Rouder, Speckman, Sun, Morey, &amp; Iverson, 2009)</w:t>
      </w:r>
      <w:r>
        <w:t xml:space="preserve">. They are sensitive to the amount of evidence for the alternative hypothesis only (i.e., when an effect is trully present). In other words, these indices are not able to reflect the amount of evidence in favor of the null hypothesis. A high value suggest that the effect exists, but a low value indicates</w:t>
      </w:r>
      <w:r>
        <w:t xml:space="preserve"> </w:t>
      </w:r>
      <w:r>
        <w:rPr>
          <w:i/>
        </w:rPr>
        <w:t xml:space="preserve">uncertainty</w:t>
      </w:r>
      <w:r>
        <w:t xml:space="preserve"> </w:t>
      </w:r>
      <w:r>
        <w:t xml:space="preserve">about its existence (but not certainty that it is non-existing). The second group, including percentages in ROPE and Bayes factors, seem sensitive both to presence and absence of effect, accumulating evidence as the sample size increases. However, the percentage in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true Bayesian equivalent. On the contrary Bayes factors appear as having a severely non-linear relationship with the frequentist index, which is to be expected from their mathematical definition and their sensitivity when the null hypothesis is true. This in turn can lead to suprising conclusions. For instance, Bayes factors lower than 1, which are considered as providing evidence</w:t>
      </w:r>
      <w:r>
        <w:t xml:space="preserve"> </w:t>
      </w:r>
      <w:r>
        <w:rPr>
          <w:i/>
        </w:rPr>
        <w:t xml:space="preserve">against</w:t>
      </w:r>
      <w:r>
        <w:t xml:space="preserve"> </w:t>
      </w:r>
      <w:r>
        <w:t xml:space="preserve">the presence of an effect, can still correpond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 4</w:t>
      </w:r>
      <w:r>
        <w:t xml:space="preserve">). Percentages in ROPE are the indices the more losely related to the</w:t>
      </w:r>
      <w:r>
        <w:t xml:space="preserve"> </w:t>
      </w:r>
      <w:r>
        <w:rPr>
          <w:i/>
        </w:rPr>
        <w:t xml:space="preserve">p</w:t>
      </w:r>
      <w:r>
        <w:t xml:space="preserve">-value, as it appears as depending on another factor, the sample size. This suggests that the percentage in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w:t>
      </w:r>
      <w:r>
        <w:t xml:space="preserve"> </w:t>
      </w:r>
      <w:r>
        <w:rPr>
          <w:i/>
        </w:rPr>
        <w:t xml:space="preserve">p</w:t>
      </w:r>
      <w:r>
        <w:t xml:space="preserve">, rather than mere approximations or equivalents.</w:t>
      </w:r>
    </w:p>
    <w:p>
      <w:pPr>
        <w:pStyle w:val="TableCaption"/>
      </w:pPr>
      <w:r>
        <w:t xml:space="preserve">Table 3.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shifted away from or towards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A ROPE range needs to be arbitrarily defined. Sensitive to the scale (the unit) of the predictors. Sensitive to selection of prior distribution shape, location and scale.</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a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w:t>
      </w:r>
      <w:r>
        <w:t xml:space="preserve"> </w:t>
      </w:r>
      <w:r>
        <w:t xml:space="preserve">is likely to be too small to be of high importance in real-world scenarios.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w:t>
      </w:r>
    </w:p>
    <w:p>
      <w:pPr>
        <w:pStyle w:val="BodyText"/>
      </w:pPr>
      <w:r>
        <w:t xml:space="preserve">While indices of significance and existence can be numerically related (as shown in our results), they are conceptually independent.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w:t>
      </w:r>
      <w:r>
        <w:t xml:space="preserve"> </w:t>
      </w:r>
      <w:r>
        <w:rPr>
          <w:i/>
        </w:rPr>
        <w:t xml:space="preserve">x</w:t>
      </w:r>
      <w:r>
        <w:t xml:space="preserve"> </w:t>
      </w:r>
      <w:r>
        <w:t xml:space="preserve">on</w:t>
      </w:r>
      <w:r>
        <w:t xml:space="preserve"> </w:t>
      </w:r>
      <w:r>
        <w:rPr>
          <w:i/>
        </w:rPr>
        <w:t xml:space="preserve">y</w:t>
      </w:r>
      <w:r>
        <w:t xml:space="preserve"> </w:t>
      </w:r>
      <w:r>
        <w:t xml:space="preserve">is of 0.02 and falls within the ROPE (being not significant), simply multiplying</w:t>
      </w:r>
      <w:r>
        <w:t xml:space="preserve"> </w:t>
      </w:r>
      <w:r>
        <w:rPr>
          <w:i/>
        </w:rPr>
        <w:t xml:space="preserve">x</w:t>
      </w:r>
      <w:r>
        <w:t xml:space="preserve"> </w:t>
      </w:r>
      <w:r>
        <w:t xml:space="preserve">values by 100 would result in a coefficient with a median of 0.02 * 100 = 20, which would fall outside of the rope (which range is fixed to</w:t>
      </w:r>
      <w:r>
        <w:t xml:space="preserve"> </w:t>
      </w:r>
      <w:r>
        <w:rPr>
          <w:i/>
        </w:rPr>
        <w:t xml:space="preserve">y</w:t>
      </w:r>
      <w:r>
        <w:t xml:space="preserve">), that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an explicitly specified cut-off point if categorization is needed, for instance 5%).</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informative priors. The relative similarity between the Bayes factor against ROPE and the percentage in ROPE (full) is expected due to their mathematical relationship, as the former can be computed as the odds of the latter divided by the</w:t>
      </w:r>
      <w:r>
        <w:t xml:space="preserve"> </w:t>
      </w:r>
      <w:r>
        <w:rPr>
          <w:i/>
        </w:rPr>
        <w:t xml:space="preserve">prior</w:t>
      </w:r>
      <w:r>
        <w:t xml:space="preserve"> </w:t>
      </w:r>
      <w:r>
        <w:t xml:space="preserve">odds falling within the ROPE. Since the prior odds is dependent only on the shape of the prior distributions and the definition of the range of the ROPE, it is a constant that normalizes the posterior ROPE odds relative to the prior ROPE odds.</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w:t>
      </w:r>
      <w:r>
        <w:rPr>
          <w:i/>
        </w:rPr>
        <w:t xml:space="preserve">i.e.</w:t>
      </w:r>
      <w:r>
        <w:t xml:space="preserve">, is positive or negative). Beyond its simplicity of interpretation, understanding and computation, this index also presents other interesting properties. It is independent from the model,</w:t>
      </w:r>
      <w:r>
        <w:t xml:space="preserve"> </w:t>
      </w:r>
      <w:r>
        <w:rPr>
          <w:i/>
        </w:rPr>
        <w:t xml:space="preserve">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and is not enable to give information in favor of the null.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w:t>
      </w:r>
      <w:r>
        <w:t xml:space="preserve"> </w:t>
      </w:r>
      <w:r>
        <w:t xml:space="preserve">“</w:t>
      </w:r>
      <w:r>
        <w:t xml:space="preserve">reject the null</w:t>
      </w:r>
      <w:r>
        <w:t xml:space="preserve">”</w:t>
      </w:r>
      <w:r>
        <w:t xml:space="preserve"> </w:t>
      </w:r>
      <w:r>
        <w:t xml:space="preserve">(but not accepting it, which is consistent with the interpretation of the frequentist</w:t>
      </w:r>
      <w:r>
        <w:t xml:space="preserve"> </w:t>
      </w:r>
      <w:r>
        <w:rPr>
          <w:i/>
        </w:rPr>
        <w:t xml:space="preserve">p</w:t>
      </w:r>
      <w:r>
        <w:t xml:space="preserve">-value). On the contrary, the BFs (and to some extent the percentage in ROPE, although being bounded to 0% and 100%) continue increasing or decreasing as the evidence becomes stronger (more data points), in both directions.</w:t>
      </w:r>
    </w:p>
    <w:p>
      <w:pPr>
        <w:pStyle w:val="BodyText"/>
      </w:pPr>
      <w:r>
        <w:t xml:space="preserve">Much of these strengths also apply to the MAP-based</w:t>
      </w:r>
      <w:r>
        <w:t xml:space="preserve"> </w:t>
      </w:r>
      <w:r>
        <w:rPr>
          <w:i/>
        </w:rPr>
        <w:t xml:space="preserve">p</w:t>
      </w:r>
      <w:r>
        <w:t xml:space="preserve">-value. Although possibly showing some superiority in terms of sensitivity as compared to the</w:t>
      </w:r>
      <w:r>
        <w:t xml:space="preserve"> </w:t>
      </w:r>
      <w:r>
        <w:rPr>
          <w:i/>
        </w:rPr>
        <w:t xml:space="preserve">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Additionally, the</w:t>
      </w:r>
      <w:r>
        <w:t xml:space="preserve"> </w:t>
      </w:r>
      <w:r>
        <w:rPr>
          <w:i/>
        </w:rPr>
        <w:t xml:space="preserve">pd</w:t>
      </w:r>
      <w:r>
        <w:t xml:space="preserve"> </w:t>
      </w:r>
      <w:r>
        <w:t xml:space="preserve">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counter-intuitive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in our opinion,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w:t>
      </w:r>
      <w:r>
        <w:rPr>
          <w:i/>
        </w:rPr>
        <w:t xml:space="preserve">i.e.</w:t>
      </w:r>
      <w:r>
        <w:t xml:space="preserve">,</w:t>
      </w:r>
      <w:r>
        <w:t xml:space="preserve"> </w:t>
      </w:r>
      <w:r>
        <w:t xml:space="preserve">“</w:t>
      </w:r>
      <w:r>
        <w:t xml:space="preserve">worth of interest</w:t>
      </w:r>
      <w:r>
        <w:t xml:space="preserve">”</w:t>
      </w:r>
      <w:r>
        <w:t xml:space="preserve">). Addressing this confusion, the Bayesian equivalent has an intuitive meaning and interpretation, making also obvious the fact that all thresholds and heuristics are arbitrary. Additionally,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Heading1"/>
      </w:pPr>
      <w:bookmarkStart w:id="45" w:name="reporting-guidelines"/>
      <w:r>
        <w:t xml:space="preserve">Reporting Guidelines</w:t>
      </w:r>
      <w:bookmarkEnd w:id="45"/>
    </w:p>
    <w:p>
      <w:pPr>
        <w:pStyle w:val="FirstParagraph"/>
      </w:pPr>
      <w:r>
        <w:t xml:space="preserve">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BodyText"/>
      </w:pPr>
      <w:r>
        <w:t xml:space="preserve">Nevertheless, based on the present comparison, we can start outlining the following guidelines. As the two aspects of the EXIT framework,</w:t>
      </w:r>
      <w:r>
        <w:t xml:space="preserve"> </w:t>
      </w:r>
      <w:r>
        <w:rPr>
          <w:i/>
        </w:rPr>
        <w:t xml:space="preserve">existence</w:t>
      </w:r>
      <w:r>
        <w:t xml:space="preserve"> </w:t>
      </w:r>
      <w:r>
        <w:t xml:space="preserve">and</w:t>
      </w:r>
      <w:r>
        <w:t xml:space="preserve"> </w:t>
      </w:r>
      <w:r>
        <w:rPr>
          <w:i/>
        </w:rPr>
        <w:t xml:space="preserve">significance</w:t>
      </w:r>
      <w:r>
        <w:t xml:space="preserve">, are complementary,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imformitness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 (REF??). On the other hand, in cases where informed prior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w:t>
      </w:r>
      <w:r>
        <w:t xml:space="preserve">and 3, 10 and 30 (weak evidence) appropriate for the BF.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(BF</w:t>
      </w:r>
      <w:r>
        <w:t xml:space="preserve">ROPE</w:t>
      </w:r>
      <w:r>
        <w:t xml:space="preserve"> </w:t>
      </w:r>
      <w:r>
        <w:t xml:space="preserve">= 0.29) [</w:t>
      </w:r>
      <w:r>
        <w:rPr>
          <w:i/>
        </w:rPr>
        <w:t xml:space="preserve">BF (vs. ROPE)</w:t>
      </w:r>
      <w:r>
        <w:t xml:space="preserve">] in favour of an absence of effect of X, which has a probability of 90.14% [</w:t>
      </w:r>
      <w:r>
        <w:rPr>
          <w:i/>
        </w:rPr>
        <w:t xml:space="preserve">pd</w:t>
      </w:r>
      <w:r>
        <w:t xml:space="preserve">] of being negative (Median = -0.03, 89% CI [-0.05, 0.01]), and can be considered as very small (Std. Median = -0.09) [</w:t>
      </w:r>
      <w:r>
        <w:rPr>
          <w:i/>
        </w:rPr>
        <w:t xml:space="preserve">standardized coefficient</w:t>
      </w:r>
      <w:r>
        <w:t xml:space="preserve">] [</w:t>
      </w:r>
      <w:r>
        <w:rPr>
          <w:i/>
        </w:rPr>
        <w:t xml:space="preserve">optional</w:t>
      </w:r>
      <w:r>
        <w:t xml:space="preserve">: and not-significant (6.42% in ROPE) [</w:t>
      </w:r>
      <w:r>
        <w:rPr>
          <w:i/>
        </w:rPr>
        <w:t xml:space="preserve">ROPE (full)</w:t>
      </w:r>
      <w:r>
        <w:t xml:space="preserve">]]</w:t>
      </w:r>
      <w:r>
        <w:t xml:space="preserve">”</w:t>
      </w:r>
    </w:p>
    <w:p>
      <w:pPr>
        <w:pStyle w:val="Heading1"/>
      </w:pPr>
      <w:bookmarkStart w:id="46" w:name="supplementary-materials"/>
      <w:r>
        <w:t xml:space="preserve">Supplementary Materials</w:t>
      </w:r>
      <w:bookmarkEnd w:id="46"/>
    </w:p>
    <w:p>
      <w:pPr>
        <w:pStyle w:val="FirstParagraph"/>
      </w:pPr>
      <w:r>
        <w:t xml:space="preserve">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acknowledgments"/>
      <w:r>
        <w:t xml:space="preserve">Acknowledgments</w:t>
      </w:r>
      <w:bookmarkEnd w:id="48"/>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we would like to thank the masters of easystats, the other padawan contributors, as well as the users.</w:t>
      </w:r>
    </w:p>
    <w:p>
      <w:pPr>
        <w:pStyle w:val="Heading1"/>
      </w:pPr>
      <w:bookmarkStart w:id="49" w:name="references"/>
      <w:r>
        <w:t xml:space="preserve">References</w:t>
      </w:r>
      <w:bookmarkEnd w:id="49"/>
    </w:p>
    <w:bookmarkStart w:id="119" w:name="refs"/>
    <w:bookmarkStart w:id="51"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0">
        <w:r>
          <w:rPr>
            <w:rStyle w:val="Hyperlink"/>
          </w:rPr>
          <w:t xml:space="preserve">https://doi.org/10.1038/d41586-019-00857-9</w:t>
        </w:r>
      </w:hyperlink>
    </w:p>
    <w:bookmarkEnd w:id="51"/>
    <w:bookmarkStart w:id="52"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2"/>
    <w:bookmarkStart w:id="53"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3"/>
    <w:bookmarkStart w:id="54"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4"/>
    <w:bookmarkStart w:id="56"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5">
        <w:r>
          <w:rPr>
            <w:rStyle w:val="Hyperlink"/>
          </w:rPr>
          <w:t xml:space="preserve">https://doi.org/10.18637/jss.v076.i01</w:t>
        </w:r>
      </w:hyperlink>
    </w:p>
    <w:bookmarkEnd w:id="56"/>
    <w:bookmarkStart w:id="57"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57"/>
    <w:bookmarkStart w:id="58" w:name="ref-cohen1988statistical"/>
    <w:p>
      <w:pPr>
        <w:pStyle w:val="Bibliography"/>
      </w:pPr>
      <w:r>
        <w:t xml:space="preserve">Cohen, J. (1988).</w:t>
      </w:r>
      <w:r>
        <w:t xml:space="preserve"> </w:t>
      </w:r>
      <w:r>
        <w:rPr>
          <w:i/>
        </w:rPr>
        <w:t xml:space="preserve">Statistical power analysis for the social sciences</w:t>
      </w:r>
      <w:r>
        <w:t xml:space="preserve">.</w:t>
      </w:r>
    </w:p>
    <w:bookmarkEnd w:id="58"/>
    <w:bookmarkStart w:id="59"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59"/>
    <w:bookmarkStart w:id="60"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0"/>
    <w:bookmarkStart w:id="61"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1"/>
    <w:bookmarkStart w:id="62"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2"/>
    <w:bookmarkStart w:id="63"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3"/>
    <w:bookmarkStart w:id="64"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4"/>
    <w:bookmarkStart w:id="65"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5"/>
    <w:bookmarkStart w:id="66"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66"/>
    <w:bookmarkStart w:id="67"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67"/>
    <w:bookmarkStart w:id="68"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68"/>
    <w:bookmarkStart w:id="70"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69">
        <w:r>
          <w:rPr>
            <w:rStyle w:val="Hyperlink"/>
          </w:rPr>
          <w:t xml:space="preserve">https://doi.org/10.1177/0146167217729162</w:t>
        </w:r>
      </w:hyperlink>
    </w:p>
    <w:bookmarkEnd w:id="70"/>
    <w:bookmarkStart w:id="71"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1"/>
    <w:bookmarkStart w:id="73"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2">
        <w:r>
          <w:rPr>
            <w:rStyle w:val="Hyperlink"/>
          </w:rPr>
          <w:t xml:space="preserve">http://mc-stan.org/</w:t>
        </w:r>
      </w:hyperlink>
    </w:p>
    <w:bookmarkEnd w:id="73"/>
    <w:bookmarkStart w:id="74"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4"/>
    <w:bookmarkStart w:id="75"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5"/>
    <w:bookmarkStart w:id="76"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76"/>
    <w:bookmarkStart w:id="77" w:name="ref-jeffreys1998theory"/>
    <w:p>
      <w:pPr>
        <w:pStyle w:val="Bibliography"/>
      </w:pPr>
      <w:r>
        <w:t xml:space="preserve">Jeffreys, H. (1998).</w:t>
      </w:r>
      <w:r>
        <w:t xml:space="preserve"> </w:t>
      </w:r>
      <w:r>
        <w:rPr>
          <w:i/>
        </w:rPr>
        <w:t xml:space="preserve">The theory of probability</w:t>
      </w:r>
      <w:r>
        <w:t xml:space="preserve">. OUP Oxford.</w:t>
      </w:r>
    </w:p>
    <w:bookmarkEnd w:id="77"/>
    <w:bookmarkStart w:id="78"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78"/>
    <w:bookmarkStart w:id="79"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79"/>
    <w:bookmarkStart w:id="80"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0"/>
    <w:bookmarkStart w:id="81"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1"/>
    <w:bookmarkStart w:id="82"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2"/>
    <w:bookmarkStart w:id="83"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3"/>
    <w:bookmarkStart w:id="84"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4"/>
    <w:bookmarkStart w:id="85"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5"/>
    <w:bookmarkStart w:id="86"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86"/>
    <w:bookmarkStart w:id="88"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87">
        <w:r>
          <w:rPr>
            <w:rStyle w:val="Hyperlink"/>
          </w:rPr>
          <w:t xml:space="preserve">https://doi.org/10.21105/joss.01412</w:t>
        </w:r>
      </w:hyperlink>
    </w:p>
    <w:bookmarkEnd w:id="88"/>
    <w:bookmarkStart w:id="89"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89"/>
    <w:bookmarkStart w:id="91"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0">
        <w:r>
          <w:rPr>
            <w:rStyle w:val="Hyperlink"/>
          </w:rPr>
          <w:t xml:space="preserve">https://doi.org/10.21105/joss.01541</w:t>
        </w:r>
      </w:hyperlink>
    </w:p>
    <w:bookmarkEnd w:id="91"/>
    <w:bookmarkStart w:id="92"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2"/>
    <w:bookmarkStart w:id="93"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3"/>
    <w:bookmarkStart w:id="94"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94"/>
    <w:bookmarkStart w:id="95"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95"/>
    <w:bookmarkStart w:id="96"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96"/>
    <w:bookmarkStart w:id="98"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97">
        <w:r>
          <w:rPr>
            <w:rStyle w:val="Hyperlink"/>
          </w:rPr>
          <w:t xml:space="preserve">https://www.R-project.org/</w:t>
        </w:r>
      </w:hyperlink>
    </w:p>
    <w:bookmarkEnd w:id="98"/>
    <w:bookmarkStart w:id="99"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99"/>
    <w:bookmarkStart w:id="100"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0"/>
    <w:bookmarkStart w:id="101"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1"/>
    <w:bookmarkStart w:id="102"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2"/>
    <w:bookmarkStart w:id="103"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3"/>
    <w:bookmarkStart w:id="105"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4">
        <w:r>
          <w:rPr>
            <w:rStyle w:val="Hyperlink"/>
          </w:rPr>
          <w:t xml:space="preserve">https://doi.org/10.1177/0956797611417632</w:t>
        </w:r>
      </w:hyperlink>
    </w:p>
    <w:bookmarkEnd w:id="105"/>
    <w:bookmarkStart w:id="106"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06"/>
    <w:bookmarkStart w:id="107"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07"/>
    <w:bookmarkStart w:id="108"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08"/>
    <w:bookmarkStart w:id="109"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09"/>
    <w:bookmarkStart w:id="110"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0"/>
    <w:bookmarkStart w:id="111"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1"/>
    <w:bookmarkStart w:id="113" w:name="ref-wagenmakers2015another"/>
    <w:p>
      <w:pPr>
        <w:pStyle w:val="Bibliography"/>
      </w:pPr>
      <w:r>
        <w:t xml:space="preserve">Wagenmakers, E.-J., Lee, M., Rouder, J., &amp; Morey, R. (2019, August). Another statistical paradox. Retrieved from</w:t>
      </w:r>
      <w:r>
        <w:t xml:space="preserve"> </w:t>
      </w:r>
      <w:hyperlink r:id="rId112">
        <w:r>
          <w:rPr>
            <w:rStyle w:val="Hyperlink"/>
          </w:rPr>
          <w:t xml:space="preserve">http://www.ejwagenmakers.com/submitted/AnotherStatisticalParadox.pdf</w:t>
        </w:r>
      </w:hyperlink>
    </w:p>
    <w:bookmarkEnd w:id="113"/>
    <w:bookmarkStart w:id="114"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14"/>
    <w:bookmarkStart w:id="115"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15"/>
    <w:bookmarkStart w:id="116"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16"/>
    <w:bookmarkStart w:id="117"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17"/>
    <w:bookmarkStart w:id="118"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18"/>
    <w:bookmarkEnd w:id="119"/>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9</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2019-08-17T05:02:18Z</dcterms:created>
  <dcterms:modified xsi:type="dcterms:W3CDTF">2019-08-17T05:02:18Z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